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03" w:rsidRPr="003C728A" w:rsidRDefault="005318C8" w:rsidP="000F1A82">
      <w:p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>
        <w:rPr>
          <w:rFonts w:asciiTheme="majorHAnsi" w:hAnsiTheme="majorHAnsi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-244475</wp:posOffset>
            </wp:positionV>
            <wp:extent cx="1093470" cy="6032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A82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УТВЕРЖДАЮ</w:t>
      </w:r>
      <w:proofErr w:type="gramStart"/>
      <w:r w:rsidR="000F1A82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:</w:t>
      </w:r>
      <w:proofErr w:type="gramEnd"/>
      <w:r w:rsidR="000F1A82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_____</w:t>
      </w:r>
      <w:r w:rsidRPr="005318C8">
        <w:rPr>
          <w:noProof/>
        </w:rPr>
        <w:t xml:space="preserve"> </w:t>
      </w:r>
      <w:r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_________________________</w:t>
      </w:r>
    </w:p>
    <w:p w:rsidR="000F1A82" w:rsidRPr="003C728A" w:rsidRDefault="005318C8" w:rsidP="000F1A82">
      <w:p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>
        <w:rPr>
          <w:rFonts w:asciiTheme="majorHAnsi" w:hAnsiTheme="majorHAnsi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5645277</wp:posOffset>
            </wp:positionH>
            <wp:positionV relativeFrom="paragraph">
              <wp:posOffset>215773</wp:posOffset>
            </wp:positionV>
            <wp:extent cx="1065403" cy="773662"/>
            <wp:effectExtent l="19050" t="0" r="1397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38" cy="77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A82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Директор ГАУСО «</w:t>
      </w:r>
      <w:proofErr w:type="spellStart"/>
      <w:r w:rsidR="000F1A82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Кольчугинский</w:t>
      </w:r>
      <w:proofErr w:type="spellEnd"/>
      <w:r w:rsidR="000F1A82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дом милосердия»</w:t>
      </w:r>
    </w:p>
    <w:p w:rsidR="000F1A82" w:rsidRPr="003C728A" w:rsidRDefault="000F1A82" w:rsidP="000F1A82">
      <w:p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С.В.Янина 01.01.2022г.</w:t>
      </w:r>
      <w:r w:rsidR="005318C8" w:rsidRPr="005318C8">
        <w:rPr>
          <w:noProof/>
        </w:rPr>
        <w:t xml:space="preserve"> </w:t>
      </w:r>
    </w:p>
    <w:p w:rsidR="000F1A82" w:rsidRPr="003C728A" w:rsidRDefault="000F1A82" w:rsidP="000F1A82">
      <w:p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ПОЛОЖЕНИЕ</w:t>
      </w:r>
    </w:p>
    <w:p w:rsidR="000F1A82" w:rsidRPr="003C728A" w:rsidRDefault="000F1A82" w:rsidP="000F1A82">
      <w:p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 xml:space="preserve">О порядке учёта сохранности, списания, а также приема на хранение личного имущества </w:t>
      </w:r>
      <w:proofErr w:type="gramStart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 xml:space="preserve">( </w:t>
      </w:r>
      <w:proofErr w:type="gramEnd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ценностей) получателей социальных услуг ( в т.ч. и умерших) в ГАУСО «</w:t>
      </w:r>
      <w:proofErr w:type="spellStart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Кольчугинский</w:t>
      </w:r>
      <w:proofErr w:type="spellEnd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 xml:space="preserve"> дом милосердия»</w:t>
      </w:r>
    </w:p>
    <w:p w:rsidR="000F1A82" w:rsidRDefault="000F1A82" w:rsidP="000F1A82">
      <w:pPr>
        <w:pStyle w:val="ab"/>
        <w:numPr>
          <w:ilvl w:val="0"/>
          <w:numId w:val="1"/>
        </w:num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Общие положения</w:t>
      </w:r>
    </w:p>
    <w:p w:rsidR="003C728A" w:rsidRPr="003C728A" w:rsidRDefault="003C728A" w:rsidP="003C728A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</w:p>
    <w:p w:rsidR="000F1A82" w:rsidRPr="003C728A" w:rsidRDefault="000F1A82" w:rsidP="000F1A82">
      <w:pPr>
        <w:pStyle w:val="ab"/>
        <w:numPr>
          <w:ilvl w:val="1"/>
          <w:numId w:val="1"/>
        </w:numPr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Настоящий Порядок разработан во исполнение пункта 12 статьи 12 Федерального закона от 28.12.2013г. №442-ФЗ « Об основах социального обслуживания граждан в Российской Федерации и определяет порядок приема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,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хранения и выдачи личных вещей, документов, денег и ценностей получателей социальных услуг в ГАУСО «</w:t>
      </w:r>
      <w:proofErr w:type="spell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Кольчугинский</w:t>
      </w:r>
      <w:proofErr w:type="spell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дом милосердия» ( далее- Учреждение).</w:t>
      </w:r>
    </w:p>
    <w:p w:rsidR="0087605B" w:rsidRPr="003C728A" w:rsidRDefault="0087605B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</w:p>
    <w:p w:rsidR="0087605B" w:rsidRPr="003C728A" w:rsidRDefault="0087605B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</w:p>
    <w:p w:rsidR="000F1A82" w:rsidRDefault="000F1A82" w:rsidP="0087605B">
      <w:pPr>
        <w:pStyle w:val="ab"/>
        <w:numPr>
          <w:ilvl w:val="0"/>
          <w:numId w:val="1"/>
        </w:num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Используемые термины и определения</w:t>
      </w:r>
    </w:p>
    <w:p w:rsidR="003C728A" w:rsidRPr="003C728A" w:rsidRDefault="003C728A" w:rsidP="003C728A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</w:p>
    <w:p w:rsidR="000F1A82" w:rsidRPr="003C728A" w:rsidRDefault="000F1A82" w:rsidP="000F1A82">
      <w:pPr>
        <w:pStyle w:val="ab"/>
        <w:numPr>
          <w:ilvl w:val="1"/>
          <w:numId w:val="1"/>
        </w:numPr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Личные вещи- вещи, которые имеют сугубо личный характер, предназначенные исключительно для собственного пользования, с которыми получатель социальных услуг прибывает в Учреждение одежда, бельё, обувь, предметы личной гигиены, бытовые приборы, инструменты, компьютерная техника, сотовый телефон и др</w:t>
      </w:r>
      <w:r w:rsidR="0087605B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у</w:t>
      </w: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гие.</w:t>
      </w:r>
    </w:p>
    <w:p w:rsidR="000F1A82" w:rsidRPr="003C728A" w:rsidRDefault="0087605B" w:rsidP="000F1A82">
      <w:pPr>
        <w:pStyle w:val="ab"/>
        <w:numPr>
          <w:ilvl w:val="1"/>
          <w:numId w:val="1"/>
        </w:numPr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Документы- документы, удостоверяющие личность, предоставляющие права, с которыми получатель социальных услуг прибывает в Учреждение: паспорт, пенсионное удостоверение, ИНН, СНИЛС, удостоверение ветерана, трудовая книжка, сберегательная книжка, банковская карта и другие.</w:t>
      </w:r>
      <w:proofErr w:type="gramEnd"/>
    </w:p>
    <w:p w:rsidR="0087605B" w:rsidRPr="003C728A" w:rsidRDefault="0087605B" w:rsidP="000F1A82">
      <w:pPr>
        <w:pStyle w:val="ab"/>
        <w:numPr>
          <w:ilvl w:val="1"/>
          <w:numId w:val="1"/>
        </w:numPr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Медицинские документ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ы-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 медицинские документы, с которыми получатель социальных услуг прибывает в Учреждение: медицинская карта, выписка из истории болезни, индивидуальная карта амбулаторного больного, медицинский страховой полис, справка МСЭ, ИПР и другие.</w:t>
      </w:r>
    </w:p>
    <w:p w:rsidR="0087605B" w:rsidRPr="003C728A" w:rsidRDefault="0087605B" w:rsidP="000F1A82">
      <w:pPr>
        <w:pStyle w:val="ab"/>
        <w:numPr>
          <w:ilvl w:val="1"/>
          <w:numId w:val="1"/>
        </w:numPr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Деньг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и-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банковские билеты Центрального банка Российской Федерации, металлические монеты, иностранная валюта.</w:t>
      </w:r>
    </w:p>
    <w:p w:rsidR="0087605B" w:rsidRPr="003C728A" w:rsidRDefault="0087605B" w:rsidP="000F1A82">
      <w:pPr>
        <w:pStyle w:val="ab"/>
        <w:numPr>
          <w:ilvl w:val="1"/>
          <w:numId w:val="1"/>
        </w:numPr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Ценност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и-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ценные бумаги, ювелирные украшения и др. получателя социальных услуг.</w:t>
      </w:r>
    </w:p>
    <w:p w:rsidR="0087605B" w:rsidRPr="003C728A" w:rsidRDefault="0087605B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</w:p>
    <w:p w:rsidR="0087605B" w:rsidRPr="003C728A" w:rsidRDefault="0087605B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</w:p>
    <w:p w:rsidR="00AA21DF" w:rsidRPr="003C728A" w:rsidRDefault="0087605B" w:rsidP="0087605B">
      <w:pPr>
        <w:pStyle w:val="ab"/>
        <w:numPr>
          <w:ilvl w:val="0"/>
          <w:numId w:val="1"/>
        </w:num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 xml:space="preserve">Прием, хранение, выдача личных вещей, документов, денег и ценностей получателей социальных услуг </w:t>
      </w:r>
      <w:proofErr w:type="gramStart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 xml:space="preserve">( </w:t>
      </w:r>
      <w:proofErr w:type="gramEnd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в том числе и умерших получателей социальных услуг)</w:t>
      </w:r>
    </w:p>
    <w:p w:rsidR="00AA21DF" w:rsidRPr="003C728A" w:rsidRDefault="00AA21DF" w:rsidP="00AA21DF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</w:p>
    <w:p w:rsidR="0087605B" w:rsidRPr="003C728A" w:rsidRDefault="0087605B" w:rsidP="00AA21DF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3.1.При поступлении гражданина, являющегося получателем социальных услуг, на стационарное обслуживание в Учреждение, его личные вещи принимаются </w:t>
      </w:r>
      <w:r w:rsidR="00E84D07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кастеляншей, заносятся </w:t>
      </w:r>
      <w:r w:rsidR="00AA21DF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в </w:t>
      </w:r>
      <w:r w:rsidR="00CB41A2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арматурную карту</w:t>
      </w:r>
      <w:r w:rsidR="00AA21DF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и </w:t>
      </w:r>
      <w:r w:rsidR="00E84D07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журнал и направляются для санитарной обработки.</w:t>
      </w:r>
    </w:p>
    <w:p w:rsidR="00E84D07" w:rsidRPr="003C728A" w:rsidRDefault="00E84D07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3.2.После санитарной обработки необходимые для использования личные  носильные вещи возвращаются получателю социальных услуг. На каждой личной вещи получателя социальных услуг ставится отметка о владельце.</w:t>
      </w:r>
    </w:p>
    <w:p w:rsidR="00E84D07" w:rsidRPr="003C728A" w:rsidRDefault="00E84D07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3.3.Остальные личные вещи сдаются в помещение для хранения в отделениях Учреждения.</w:t>
      </w:r>
    </w:p>
    <w:p w:rsidR="00E84D07" w:rsidRPr="003C728A" w:rsidRDefault="00E84D07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3.4.Сезонные одежда и обувь получателей социальных услуг хранятся в помещении для хранения в отделениях Учреждения.</w:t>
      </w:r>
    </w:p>
    <w:p w:rsidR="00E84D07" w:rsidRPr="003C728A" w:rsidRDefault="00E84D07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3.5.Личные вещи, не сданные в помещение для хранения кастелянше, хранятся получателем социальных услуг в жилой комнате, оборудованной шкафом и тумбочкой. </w:t>
      </w:r>
    </w:p>
    <w:p w:rsidR="00E84D07" w:rsidRPr="003C728A" w:rsidRDefault="00E84D07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3.6.Стирка личных носильных вещей получателей социальных услуг осуществляется сотрудниками Учреждения (машинист по стирке  белья и ремонту спец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.о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дежды).</w:t>
      </w:r>
    </w:p>
    <w:p w:rsidR="00E84D07" w:rsidRPr="003C728A" w:rsidRDefault="00E84D07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3.7.В случаи смерти получателя социальных услуг его личные вещи подлежат списанию, либо по заявлению передаются родственникам или иному законному представителю</w:t>
      </w:r>
      <w:r w:rsidR="00B26287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. Новые вещи умершего получателя социальных услуг передаются на склад по накладной, те </w:t>
      </w:r>
      <w:proofErr w:type="gramStart"/>
      <w:r w:rsidR="00B26287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вещи</w:t>
      </w:r>
      <w:proofErr w:type="gramEnd"/>
      <w:r w:rsidR="00B26287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от которых отказались родственники.</w:t>
      </w:r>
    </w:p>
    <w:p w:rsidR="00AA21DF" w:rsidRPr="003C728A" w:rsidRDefault="00B26287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3.8.Документы, удостоверяющие личность,</w:t>
      </w:r>
      <w:r w:rsidR="00296939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предоставляющие права, с которыми получатель социальных услуг прибывает в Учреждение (паспорт, пенсионное удостоверение, ИНН, СНИЛС, удостоверение ветерана, трудовая книжка, и другие) </w:t>
      </w:r>
      <w:r w:rsidR="00AA21DF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хранятся в комнате для проживающих в тумбочке  в несгораемом ящике (</w:t>
      </w:r>
      <w:proofErr w:type="gramStart"/>
      <w:r w:rsidR="00AA21DF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сейфе) </w:t>
      </w:r>
      <w:proofErr w:type="gramEnd"/>
      <w:r w:rsidR="00AA21DF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ключ находится у получателя социальных услуг либо на хранении у старшей медицинской сестры.</w:t>
      </w:r>
    </w:p>
    <w:p w:rsidR="00296939" w:rsidRPr="003C728A" w:rsidRDefault="00296939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3.9.Документы удостоверяющие личность, предоставляющие права, с которыми получатель социальных услуг прибывает в Учреждение (паспорт, пенсионное удостоверение, ИНН, СНИЛС, удостоверение ветерана, трудовая книжка, сберегательная книжка и другие) при необходимости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,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дееспособному получателю социальных услуг выдаются под роспись и сдаются получателем социальных услуг под роспись с отметкой в журнале регистрации личных документов (приложение №3).</w:t>
      </w:r>
    </w:p>
    <w:p w:rsidR="00296939" w:rsidRPr="003C728A" w:rsidRDefault="00296939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lastRenderedPageBreak/>
        <w:t>3.10.В случаи смерти получателя социальных услуг, обнаруженные принадлежащие ему денежные средства и ценности, хранятся в Учреждении</w:t>
      </w:r>
      <w:r w:rsidR="00FF2561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либо вносятся на </w:t>
      </w:r>
      <w:proofErr w:type="spellStart"/>
      <w:proofErr w:type="gramStart"/>
      <w:r w:rsidR="00FF2561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р</w:t>
      </w:r>
      <w:proofErr w:type="spellEnd"/>
      <w:proofErr w:type="gramEnd"/>
      <w:r w:rsidR="00FF2561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/с </w:t>
      </w: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до востребования их лицом, у которого имеется свидетельство о праве на наследование, выданное в установленном законном порядке.</w:t>
      </w:r>
    </w:p>
    <w:p w:rsidR="00296939" w:rsidRPr="003C728A" w:rsidRDefault="00296939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3.11.Учёт умерших получателей социальных услуг ведётся старшей медсестрой учреждения, соответствующем журнале где отмечается : ( дата рождения, дата смерти, Ф.И.О. граж</w:t>
      </w:r>
      <w:r w:rsidR="00FF2561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данина, причина смерти, кто </w:t>
      </w:r>
      <w:proofErr w:type="spellStart"/>
      <w:r w:rsidR="00FF2561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захо</w:t>
      </w: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ранивает</w:t>
      </w:r>
      <w:proofErr w:type="spellEnd"/>
      <w:proofErr w:type="gramStart"/>
      <w:r w:rsidR="00FF2561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</w:t>
      </w: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,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период пребывания в Учреждении)</w:t>
      </w:r>
      <w:r w:rsidR="00FF2561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(приложение №2)</w:t>
      </w:r>
    </w:p>
    <w:p w:rsidR="00FF2561" w:rsidRPr="003C728A" w:rsidRDefault="00FF2561" w:rsidP="0087605B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</w:p>
    <w:p w:rsidR="00FF2561" w:rsidRDefault="00FF2561" w:rsidP="00FF2561">
      <w:pPr>
        <w:pStyle w:val="ab"/>
        <w:numPr>
          <w:ilvl w:val="0"/>
          <w:numId w:val="1"/>
        </w:num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 xml:space="preserve">Порядок ведения учета, обеспечение сохранности личного имущества получателей социальных услуг </w:t>
      </w:r>
      <w:proofErr w:type="gramStart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 xml:space="preserve">( </w:t>
      </w:r>
      <w:proofErr w:type="gramEnd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в т.ч. умерших получателей социальных услуг)</w:t>
      </w:r>
    </w:p>
    <w:p w:rsidR="003C728A" w:rsidRPr="003C728A" w:rsidRDefault="003C728A" w:rsidP="003C728A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</w:p>
    <w:p w:rsidR="00FF2561" w:rsidRPr="003C728A" w:rsidRDefault="00FF2561" w:rsidP="00FF256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4.1.Личная одежда, вещи и ценности получателей социальных услуг, поступающих в Учреждение, ставятся на учёт. Кроме этого, кастелянша заносит перечень вещей в арматурную карту.</w:t>
      </w:r>
    </w:p>
    <w:p w:rsidR="00FF2561" w:rsidRPr="003C728A" w:rsidRDefault="00FF2561" w:rsidP="00FF256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4.2. Одежда и вещи получателей социальных услуг, не находящиеся в непосредственном пользовании, по их желанию сдаются на хранение в специально предназначенные для этого помещения.</w:t>
      </w:r>
    </w:p>
    <w:p w:rsidR="00FF2561" w:rsidRPr="003C728A" w:rsidRDefault="00FF2561" w:rsidP="00FF256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4.3.Одежда и личные вещи получателей социальных услуг, находящиеся в непосредственном личном пользовании, дезинфицируются, маркируются, заносятся в арматурную карточку учета личных вещей (Приложение №1)и  хранятся в специально предназначенных</w:t>
      </w:r>
      <w:r w:rsidR="00AA21DF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для этого помещениях с ограниченным доступом посторонних лиц, оборудованных шкафами, стеллажами, замками.</w:t>
      </w:r>
    </w:p>
    <w:p w:rsidR="00AA21DF" w:rsidRPr="003C728A" w:rsidRDefault="00AA21DF" w:rsidP="00FF256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4.4.Сроки носки и 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эксплуатации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личных вещей получателей социальных услуг, устанавливаются по общей норме Учреждения.</w:t>
      </w:r>
    </w:p>
    <w:p w:rsidR="00AA21DF" w:rsidRPr="003C728A" w:rsidRDefault="00AA21DF" w:rsidP="00FF256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4.5.Ценности получателей социальных услуг хранятся в комнате для проживающих в тумбочке  в несгораемом ящике (сейфе) ключ находится у получателя социальных услуг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.</w:t>
      </w:r>
      <w:proofErr w:type="gramEnd"/>
    </w:p>
    <w:p w:rsidR="00AA21DF" w:rsidRPr="003C728A" w:rsidRDefault="00AA21DF" w:rsidP="00FF256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4.6.Деньги, ценности и документы умерших получателей социальных услуг хранятся в сейфе либо на </w:t>
      </w:r>
      <w:proofErr w:type="spellStart"/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р</w:t>
      </w:r>
      <w:proofErr w:type="spellEnd"/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/с счете Учреждения до востребования их лицом, у которого имеется свидетельство о праве на наследование, выданное в установленном законном порядке. Деньги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,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сберегательные книжки, банковские карты, переходят к родственникам умершего </w:t>
      </w:r>
      <w:r w:rsidR="000968AB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получателя социальных услуг с момента вступления в наследство. Ценности и документы умерших получателей социальных услуг, передаются родственникам </w:t>
      </w:r>
      <w:proofErr w:type="gramStart"/>
      <w:r w:rsidR="000968AB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умершего</w:t>
      </w:r>
      <w:proofErr w:type="gramEnd"/>
      <w:r w:rsidR="000968AB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по их письменному заявлению. В случаи смерти получателя социальных услуг и отсутствия у него родственников или иных законных представителей, которым могут быть переданы документы, его паспорт передается в территориальный орган записи актов гражданского состояния (ЗАГС).</w:t>
      </w:r>
    </w:p>
    <w:p w:rsidR="000968AB" w:rsidRPr="003C728A" w:rsidRDefault="000968AB" w:rsidP="00FF256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4.7.За личные вещи, документы, деньги, ценности не обнаруженные в комнате получателя социальных услуг 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( 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в т.ч. умершего), и не сданного по акту учреждение ответственности не несёт.</w:t>
      </w:r>
    </w:p>
    <w:p w:rsidR="000968AB" w:rsidRPr="003C728A" w:rsidRDefault="000968AB" w:rsidP="00FF256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4.8.Личное дело умершего получателя социальных услуг формируется и отправляется на 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хранение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а Архив учреждения.</w:t>
      </w:r>
    </w:p>
    <w:p w:rsidR="00BC7ADE" w:rsidRPr="003C728A" w:rsidRDefault="000968AB" w:rsidP="00BE6CC3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4.9.Ответственность и контроль за организацию хранения, учета и 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возврата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личных вещей, денег, документов и ценностей, принадлежащих получателям социальных услуг, возлагается на старшую медицинскую сестру.</w:t>
      </w:r>
    </w:p>
    <w:p w:rsidR="00BE6CC3" w:rsidRPr="003C728A" w:rsidRDefault="00BE6CC3" w:rsidP="00BE6CC3">
      <w:pPr>
        <w:pStyle w:val="ab"/>
        <w:tabs>
          <w:tab w:val="left" w:pos="9542"/>
        </w:tabs>
        <w:spacing w:before="100" w:beforeAutospacing="1" w:after="100" w:afterAutospacing="1" w:line="240" w:lineRule="auto"/>
        <w:ind w:left="644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</w:p>
    <w:p w:rsidR="00BE6CC3" w:rsidRDefault="00BE6CC3" w:rsidP="003C728A">
      <w:pPr>
        <w:pStyle w:val="ab"/>
        <w:numPr>
          <w:ilvl w:val="0"/>
          <w:numId w:val="1"/>
        </w:numPr>
        <w:tabs>
          <w:tab w:val="left" w:pos="9542"/>
        </w:tabs>
        <w:spacing w:before="100" w:beforeAutospacing="1" w:after="100" w:afterAutospacing="1" w:line="240" w:lineRule="auto"/>
        <w:jc w:val="center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Порядок проверки наличия и состояния сохранности личного имущества получателей социальных услуг  (в т.ч. и умерших получателей социальных услуг</w:t>
      </w:r>
      <w:proofErr w:type="gramStart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 xml:space="preserve"> )</w:t>
      </w:r>
      <w:proofErr w:type="gramEnd"/>
      <w:r w:rsidRPr="003C728A"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  <w:t>.</w:t>
      </w:r>
    </w:p>
    <w:p w:rsidR="003C728A" w:rsidRPr="003C728A" w:rsidRDefault="003C728A" w:rsidP="003C728A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Cs w:val="0"/>
          <w:color w:val="000000" w:themeColor="text1"/>
          <w:sz w:val="20"/>
          <w:szCs w:val="20"/>
        </w:rPr>
      </w:pPr>
    </w:p>
    <w:p w:rsidR="00BE6CC3" w:rsidRPr="003C728A" w:rsidRDefault="00BE6CC3" w:rsidP="00BE6CC3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5.1.Периодически, не реже 1 раза в месяц, кастелянша производит проверку наличия и состояния личного имущества получателей социальных услуг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,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а затем фиксирует в личной арматурной карточке проживающего (Приложение № 1).</w:t>
      </w:r>
    </w:p>
    <w:p w:rsidR="00BE6CC3" w:rsidRPr="003C728A" w:rsidRDefault="00BE6CC3" w:rsidP="00BE6CC3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Fonts w:asciiTheme="majorHAnsi" w:hAnsiTheme="majorHAnsi"/>
          <w:color w:val="000000" w:themeColor="text1"/>
          <w:sz w:val="20"/>
          <w:szCs w:val="20"/>
        </w:rPr>
      </w:pPr>
      <w:r w:rsidRPr="003C728A">
        <w:rPr>
          <w:rFonts w:asciiTheme="majorHAnsi" w:hAnsiTheme="majorHAnsi"/>
          <w:color w:val="000000" w:themeColor="text1"/>
          <w:sz w:val="20"/>
          <w:szCs w:val="20"/>
        </w:rPr>
        <w:t xml:space="preserve">5.2.В случае утери, порчи данного имущества, ответственные лица (кастелянша) в присутствии старшей медицинской сестры или лица, на которое возложены данные обязанности, в течение 3-х дневного срока производят расследование факта утери или порчи, и составляют акт на списание имущества </w:t>
      </w:r>
      <w:r w:rsidR="00D773A1" w:rsidRPr="003C728A">
        <w:rPr>
          <w:rFonts w:asciiTheme="majorHAnsi" w:hAnsiTheme="majorHAnsi"/>
          <w:color w:val="000000" w:themeColor="text1"/>
          <w:sz w:val="20"/>
          <w:szCs w:val="20"/>
        </w:rPr>
        <w:t>с указанием причины  и даты.</w:t>
      </w:r>
    </w:p>
    <w:p w:rsidR="00D773A1" w:rsidRPr="003C728A" w:rsidRDefault="00D773A1" w:rsidP="00BE6CC3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Fonts w:asciiTheme="majorHAnsi" w:hAnsiTheme="majorHAnsi"/>
          <w:color w:val="000000" w:themeColor="text1"/>
          <w:sz w:val="20"/>
          <w:szCs w:val="20"/>
        </w:rPr>
      </w:pPr>
      <w:r w:rsidRPr="003C728A">
        <w:rPr>
          <w:rFonts w:asciiTheme="majorHAnsi" w:hAnsiTheme="majorHAnsi"/>
          <w:color w:val="000000" w:themeColor="text1"/>
          <w:sz w:val="20"/>
          <w:szCs w:val="20"/>
        </w:rPr>
        <w:t xml:space="preserve">5.3.В случае, выявления ненадлежащего </w:t>
      </w:r>
      <w:proofErr w:type="gramStart"/>
      <w:r w:rsidRPr="003C728A">
        <w:rPr>
          <w:rFonts w:asciiTheme="majorHAnsi" w:hAnsiTheme="majorHAnsi"/>
          <w:color w:val="000000" w:themeColor="text1"/>
          <w:sz w:val="20"/>
          <w:szCs w:val="20"/>
        </w:rPr>
        <w:t>контроля за</w:t>
      </w:r>
      <w:proofErr w:type="gramEnd"/>
      <w:r w:rsidRPr="003C728A">
        <w:rPr>
          <w:rFonts w:asciiTheme="majorHAnsi" w:hAnsiTheme="majorHAnsi"/>
          <w:color w:val="000000" w:themeColor="text1"/>
          <w:sz w:val="20"/>
          <w:szCs w:val="20"/>
        </w:rPr>
        <w:t xml:space="preserve"> сохранностью вещей со стороны работников Учреждения, виновный возмещает стоимость вещи в полном объеме.</w:t>
      </w:r>
    </w:p>
    <w:p w:rsidR="00D773A1" w:rsidRPr="003C728A" w:rsidRDefault="00D773A1" w:rsidP="00BE6CC3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773A1" w:rsidRPr="003C728A" w:rsidRDefault="00D773A1" w:rsidP="00D773A1">
      <w:pPr>
        <w:pStyle w:val="ab"/>
        <w:numPr>
          <w:ilvl w:val="0"/>
          <w:numId w:val="1"/>
        </w:numPr>
        <w:tabs>
          <w:tab w:val="left" w:pos="9542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3C728A">
        <w:rPr>
          <w:rFonts w:asciiTheme="majorHAnsi" w:hAnsiTheme="majorHAnsi"/>
          <w:b/>
          <w:color w:val="000000" w:themeColor="text1"/>
          <w:sz w:val="20"/>
          <w:szCs w:val="20"/>
        </w:rPr>
        <w:t>Порядок работы с выморочным имуществом</w:t>
      </w:r>
    </w:p>
    <w:p w:rsidR="003C728A" w:rsidRPr="003C728A" w:rsidRDefault="003C728A" w:rsidP="003C728A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D773A1" w:rsidRPr="003C728A" w:rsidRDefault="00D773A1" w:rsidP="00395FAD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Fonts w:asciiTheme="majorHAnsi" w:hAnsiTheme="majorHAnsi"/>
          <w:color w:val="000000" w:themeColor="text1"/>
          <w:sz w:val="20"/>
          <w:szCs w:val="20"/>
        </w:rPr>
        <w:t xml:space="preserve">6.1.В </w:t>
      </w:r>
      <w:proofErr w:type="spellStart"/>
      <w:r w:rsidRPr="003C728A">
        <w:rPr>
          <w:rFonts w:asciiTheme="majorHAnsi" w:hAnsiTheme="majorHAnsi"/>
          <w:color w:val="000000" w:themeColor="text1"/>
          <w:sz w:val="20"/>
          <w:szCs w:val="20"/>
        </w:rPr>
        <w:t>соттветствии</w:t>
      </w:r>
      <w:proofErr w:type="spellEnd"/>
      <w:r w:rsidRPr="003C728A">
        <w:rPr>
          <w:rFonts w:asciiTheme="majorHAnsi" w:hAnsiTheme="majorHAnsi"/>
          <w:color w:val="000000" w:themeColor="text1"/>
          <w:sz w:val="20"/>
          <w:szCs w:val="20"/>
        </w:rPr>
        <w:t xml:space="preserve"> со ст.1151 ГКРФ в случае, если у умерших </w:t>
      </w: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получателей социальных услуг  отсутствуют наследники как по закону</w:t>
      </w:r>
      <w:proofErr w:type="gram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,</w:t>
      </w:r>
      <w:proofErr w:type="gram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так и по завещанию, либо никто из наследников не имеет право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имущество умершего считается выморочным.</w:t>
      </w:r>
    </w:p>
    <w:p w:rsidR="00D773A1" w:rsidRPr="003C728A" w:rsidRDefault="00D773A1" w:rsidP="00D773A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6.2.Выморочное имущество переходит в порядке наследования по закону в собственность Российской Федерации.</w:t>
      </w:r>
    </w:p>
    <w:p w:rsidR="00D773A1" w:rsidRPr="003C728A" w:rsidRDefault="00D773A1" w:rsidP="00D773A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6.3.Порядок наследования и учета выморочного имущества, переходящего в порядке наследования по закону в собственность РФ</w:t>
      </w:r>
      <w:r w:rsidR="00395FAD"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, а также порядок передачи его в собственность РФ определяется законом.</w:t>
      </w:r>
    </w:p>
    <w:p w:rsidR="00395FAD" w:rsidRPr="003C728A" w:rsidRDefault="00395FAD" w:rsidP="00395FAD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6.4.Учреждение обращается в соответствующие территориальные органы </w:t>
      </w:r>
      <w:proofErr w:type="spell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агенства</w:t>
      </w:r>
      <w:proofErr w:type="spell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по управлению государственным имуществом в </w:t>
      </w:r>
      <w:proofErr w:type="spell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Кольчугинском</w:t>
      </w:r>
      <w:proofErr w:type="spell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районе (Прокуратура, районный суд, </w:t>
      </w:r>
      <w:proofErr w:type="spell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Росимущество</w:t>
      </w:r>
      <w:proofErr w:type="spellEnd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) и направляет сведения о денежных средствах умерших получателей социальных услуг, находящихся на </w:t>
      </w: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lastRenderedPageBreak/>
        <w:t>хранении в учреждении (счет в банке), которое в соответствии с законодательством РФ считается выморочным.</w:t>
      </w:r>
    </w:p>
    <w:p w:rsidR="00395FAD" w:rsidRPr="003C728A" w:rsidRDefault="00395FAD" w:rsidP="00395FAD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6.5.МТУ </w:t>
      </w:r>
      <w:proofErr w:type="spellStart"/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Росимуще</w:t>
      </w:r>
      <w:r w:rsidR="00CB41A2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>ства</w:t>
      </w:r>
      <w:proofErr w:type="spellEnd"/>
      <w:r w:rsidR="00CB41A2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во Владимирской области</w:t>
      </w:r>
      <w:r w:rsidRPr="003C728A"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  <w:t xml:space="preserve"> по управлению государственным имуществом принимает в установленном порядке выморочное имущество, которое в соответствии с законодательством РФ переходит в порядке наследования в собственность Р.Ф.</w:t>
      </w:r>
    </w:p>
    <w:p w:rsidR="00395FAD" w:rsidRPr="003C728A" w:rsidRDefault="00395FAD" w:rsidP="00395FAD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395FAD" w:rsidRPr="003C728A" w:rsidRDefault="00395FAD" w:rsidP="00D773A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D773A1" w:rsidRPr="003C728A" w:rsidRDefault="00D773A1" w:rsidP="00D773A1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Fonts w:asciiTheme="majorHAnsi" w:hAnsiTheme="majorHAnsi"/>
          <w:color w:val="000000" w:themeColor="text1"/>
          <w:sz w:val="20"/>
          <w:szCs w:val="20"/>
        </w:rPr>
      </w:pPr>
    </w:p>
    <w:p w:rsidR="00BE6CC3" w:rsidRPr="003C728A" w:rsidRDefault="00BE6CC3" w:rsidP="00BE6CC3">
      <w:pPr>
        <w:pStyle w:val="ab"/>
        <w:tabs>
          <w:tab w:val="left" w:pos="9542"/>
        </w:tabs>
        <w:spacing w:before="100" w:beforeAutospacing="1" w:after="100" w:afterAutospacing="1" w:line="240" w:lineRule="auto"/>
        <w:ind w:left="360"/>
        <w:rPr>
          <w:rStyle w:val="a5"/>
          <w:rFonts w:asciiTheme="majorHAnsi" w:hAnsiTheme="majorHAnsi"/>
          <w:b w:val="0"/>
          <w:bCs w:val="0"/>
          <w:color w:val="000000" w:themeColor="text1"/>
          <w:sz w:val="20"/>
          <w:szCs w:val="20"/>
        </w:rPr>
      </w:pPr>
    </w:p>
    <w:p w:rsidR="00BE6CC3" w:rsidRPr="003C728A" w:rsidRDefault="00BE6CC3" w:rsidP="00BE6CC3">
      <w:pPr>
        <w:tabs>
          <w:tab w:val="left" w:pos="9542"/>
        </w:tabs>
        <w:spacing w:before="100" w:beforeAutospacing="1" w:after="100" w:afterAutospacing="1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BE6CC3" w:rsidRPr="003C728A" w:rsidRDefault="00BE6CC3" w:rsidP="00BE6CC3">
      <w:pPr>
        <w:tabs>
          <w:tab w:val="left" w:pos="9542"/>
        </w:tabs>
        <w:spacing w:before="100" w:beforeAutospacing="1" w:after="100" w:afterAutospacing="1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BC7ADE" w:rsidRPr="003C728A" w:rsidRDefault="00BC7ADE" w:rsidP="000653F9">
      <w:pPr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BC7ADE" w:rsidRPr="003C728A" w:rsidRDefault="00BC7ADE" w:rsidP="000653F9">
      <w:pPr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BC7ADE" w:rsidRPr="003C728A" w:rsidRDefault="00BC7ADE" w:rsidP="000653F9">
      <w:pPr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BC7ADE" w:rsidRPr="003C728A" w:rsidRDefault="00BC7ADE" w:rsidP="000653F9">
      <w:pPr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BC7ADE" w:rsidRPr="003C728A" w:rsidRDefault="00BC7ADE" w:rsidP="000653F9">
      <w:pPr>
        <w:rPr>
          <w:rFonts w:asciiTheme="majorHAnsi" w:eastAsia="Times New Roman" w:hAnsiTheme="majorHAnsi" w:cs="Arial"/>
          <w:color w:val="000000" w:themeColor="text1"/>
          <w:lang w:eastAsia="ru-RU"/>
        </w:rPr>
      </w:pPr>
    </w:p>
    <w:p w:rsidR="00BC7ADE" w:rsidRDefault="00BC7ADE" w:rsidP="000653F9">
      <w:pPr>
        <w:rPr>
          <w:rFonts w:asciiTheme="majorHAnsi" w:eastAsia="Times New Roman" w:hAnsiTheme="majorHAnsi" w:cs="Arial"/>
          <w:lang w:eastAsia="ru-RU"/>
        </w:rPr>
      </w:pPr>
    </w:p>
    <w:p w:rsidR="00BC7ADE" w:rsidRDefault="00BC7ADE" w:rsidP="000653F9">
      <w:pPr>
        <w:rPr>
          <w:rFonts w:asciiTheme="majorHAnsi" w:eastAsia="Times New Roman" w:hAnsiTheme="majorHAnsi" w:cs="Arial"/>
          <w:lang w:eastAsia="ru-RU"/>
        </w:rPr>
      </w:pPr>
    </w:p>
    <w:p w:rsidR="00BC7ADE" w:rsidRDefault="00BC7ADE" w:rsidP="000653F9">
      <w:pPr>
        <w:rPr>
          <w:rFonts w:asciiTheme="majorHAnsi" w:eastAsia="Times New Roman" w:hAnsiTheme="majorHAnsi" w:cs="Arial"/>
          <w:lang w:eastAsia="ru-RU"/>
        </w:rPr>
      </w:pPr>
    </w:p>
    <w:p w:rsidR="000F1A82" w:rsidRPr="000653F9" w:rsidRDefault="00843CCC" w:rsidP="000F1A82">
      <w:pPr>
        <w:rPr>
          <w:rFonts w:asciiTheme="majorHAnsi" w:eastAsia="Times New Roman" w:hAnsiTheme="majorHAnsi" w:cs="Arial"/>
          <w:lang w:eastAsia="ru-RU"/>
        </w:rPr>
      </w:pPr>
      <w:r>
        <w:rPr>
          <w:rFonts w:asciiTheme="majorHAnsi" w:eastAsia="Times New Roman" w:hAnsiTheme="majorHAnsi" w:cs="Arial"/>
          <w:lang w:eastAsia="ru-RU"/>
        </w:rPr>
        <w:t xml:space="preserve">                                                                                                                </w:t>
      </w:r>
    </w:p>
    <w:p w:rsidR="000653F9" w:rsidRPr="000653F9" w:rsidRDefault="000653F9">
      <w:pPr>
        <w:rPr>
          <w:rFonts w:asciiTheme="majorHAnsi" w:hAnsiTheme="majorHAnsi"/>
          <w:sz w:val="24"/>
          <w:szCs w:val="24"/>
        </w:rPr>
      </w:pPr>
    </w:p>
    <w:sectPr w:rsidR="000653F9" w:rsidRPr="000653F9" w:rsidSect="00BF11E6">
      <w:pgSz w:w="11906" w:h="16838"/>
      <w:pgMar w:top="567" w:right="851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C9D"/>
    <w:multiLevelType w:val="multilevel"/>
    <w:tmpl w:val="B7082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5B3E"/>
    <w:rsid w:val="00045287"/>
    <w:rsid w:val="000653F9"/>
    <w:rsid w:val="000968AB"/>
    <w:rsid w:val="000C690E"/>
    <w:rsid w:val="000F1A82"/>
    <w:rsid w:val="0011302F"/>
    <w:rsid w:val="001465FD"/>
    <w:rsid w:val="00177C32"/>
    <w:rsid w:val="00227EAF"/>
    <w:rsid w:val="00296939"/>
    <w:rsid w:val="00334AEE"/>
    <w:rsid w:val="00395FAD"/>
    <w:rsid w:val="003C728A"/>
    <w:rsid w:val="004402E2"/>
    <w:rsid w:val="005318C8"/>
    <w:rsid w:val="00555366"/>
    <w:rsid w:val="005675B0"/>
    <w:rsid w:val="00674D29"/>
    <w:rsid w:val="00843CCC"/>
    <w:rsid w:val="008511B2"/>
    <w:rsid w:val="0087605B"/>
    <w:rsid w:val="00973A89"/>
    <w:rsid w:val="009B4203"/>
    <w:rsid w:val="009D469D"/>
    <w:rsid w:val="00A25A69"/>
    <w:rsid w:val="00A702A9"/>
    <w:rsid w:val="00AA21DF"/>
    <w:rsid w:val="00B26287"/>
    <w:rsid w:val="00B34853"/>
    <w:rsid w:val="00B45C22"/>
    <w:rsid w:val="00B53F78"/>
    <w:rsid w:val="00B7548D"/>
    <w:rsid w:val="00B76429"/>
    <w:rsid w:val="00BC7ADE"/>
    <w:rsid w:val="00BD2D3A"/>
    <w:rsid w:val="00BE3191"/>
    <w:rsid w:val="00BE6CC3"/>
    <w:rsid w:val="00BF11E6"/>
    <w:rsid w:val="00C063C8"/>
    <w:rsid w:val="00CB41A2"/>
    <w:rsid w:val="00D32DFE"/>
    <w:rsid w:val="00D773A1"/>
    <w:rsid w:val="00DB5B3E"/>
    <w:rsid w:val="00E40025"/>
    <w:rsid w:val="00E84D07"/>
    <w:rsid w:val="00ED1CF7"/>
    <w:rsid w:val="00FE5430"/>
    <w:rsid w:val="00FF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F7"/>
  </w:style>
  <w:style w:type="paragraph" w:styleId="2">
    <w:name w:val="heading 2"/>
    <w:basedOn w:val="a"/>
    <w:link w:val="20"/>
    <w:uiPriority w:val="9"/>
    <w:qFormat/>
    <w:rsid w:val="00DB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5B3E"/>
    <w:rPr>
      <w:i/>
      <w:iCs/>
    </w:rPr>
  </w:style>
  <w:style w:type="character" w:styleId="a5">
    <w:name w:val="Strong"/>
    <w:basedOn w:val="a0"/>
    <w:uiPriority w:val="22"/>
    <w:qFormat/>
    <w:rsid w:val="00DB5B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B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C690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C69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675B0"/>
    <w:rPr>
      <w:color w:val="0000FF"/>
      <w:u w:val="single"/>
    </w:rPr>
  </w:style>
  <w:style w:type="character" w:customStyle="1" w:styleId="markedcontent">
    <w:name w:val="markedcontent"/>
    <w:basedOn w:val="a0"/>
    <w:rsid w:val="00E40025"/>
  </w:style>
  <w:style w:type="paragraph" w:styleId="ab">
    <w:name w:val="List Paragraph"/>
    <w:basedOn w:val="a"/>
    <w:uiPriority w:val="34"/>
    <w:qFormat/>
    <w:rsid w:val="000F1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242E-A648-4428-9F8B-B834A5A6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2018-11-01T12:52:00Z</cp:lastPrinted>
  <dcterms:created xsi:type="dcterms:W3CDTF">2018-11-01T12:14:00Z</dcterms:created>
  <dcterms:modified xsi:type="dcterms:W3CDTF">2022-06-29T07:29:00Z</dcterms:modified>
</cp:coreProperties>
</file>